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晋城职业技术学院思政部</w:t>
      </w: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</w:t>
      </w:r>
      <w:r>
        <w:rPr>
          <w:rFonts w:hint="eastAsia"/>
          <w:b/>
          <w:bCs/>
          <w:sz w:val="32"/>
          <w:szCs w:val="32"/>
        </w:rPr>
        <w:t>技能大赛教学能力比赛的</w:t>
      </w:r>
      <w:r>
        <w:rPr>
          <w:rFonts w:hint="eastAsia"/>
          <w:b/>
          <w:bCs/>
          <w:sz w:val="32"/>
          <w:szCs w:val="32"/>
          <w:lang w:val="en-US" w:eastAsia="zh-CN"/>
        </w:rPr>
        <w:t>实施方案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  <w:lang w:val="en-US" w:eastAsia="zh-CN"/>
        </w:rPr>
        <w:t>全国、全省</w:t>
      </w:r>
      <w:r>
        <w:rPr>
          <w:rFonts w:hint="eastAsia"/>
          <w:sz w:val="32"/>
          <w:szCs w:val="32"/>
        </w:rPr>
        <w:t>职业院校技能大赛教学能力比赛及</w:t>
      </w:r>
      <w:r>
        <w:rPr>
          <w:rFonts w:hint="eastAsia"/>
          <w:sz w:val="32"/>
          <w:szCs w:val="32"/>
          <w:lang w:val="en-US" w:eastAsia="zh-CN"/>
        </w:rPr>
        <w:t>学院</w:t>
      </w:r>
      <w:r>
        <w:rPr>
          <w:rFonts w:hint="eastAsia"/>
          <w:sz w:val="32"/>
          <w:szCs w:val="32"/>
        </w:rPr>
        <w:t>职业院校技能大赛工作安排，</w:t>
      </w:r>
      <w:r>
        <w:rPr>
          <w:rFonts w:hint="eastAsia"/>
          <w:sz w:val="32"/>
          <w:szCs w:val="32"/>
          <w:lang w:val="en-US" w:eastAsia="zh-CN"/>
        </w:rPr>
        <w:t>特制定如下实施方案</w:t>
      </w:r>
      <w:r>
        <w:rPr>
          <w:rFonts w:hint="eastAsia"/>
          <w:sz w:val="32"/>
          <w:szCs w:val="32"/>
        </w:rPr>
        <w:t>: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一、总体要求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深入贯彻习近平总书记关于职业教育的重要指示，落实全国和全省职业教育大会精神，坚持“以赛促教、以赛促研，以赛促建、以赛促改”的总体思路，围绕立德树人根本任务，努力构建“三全育人”体系，深化教师、教材、教法“三教改革”，推进高水平教师教学团队建设，促进“能说会做”的“双师型”教师成长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二、组</w:t>
      </w:r>
      <w:r>
        <w:rPr>
          <w:rFonts w:hint="eastAsia"/>
          <w:sz w:val="32"/>
          <w:szCs w:val="32"/>
          <w:lang w:val="en-US" w:eastAsia="zh-CN"/>
        </w:rPr>
        <w:t>建团队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根据课程，组建三支教学团队参加学院层面比赛，大专两支，中职一支：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大专“道法”课组：任海燕  晋  娜  崔璐璐  马爱芳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大专“概论”课组：郝燕强  王宏亮  徐建军  巫盼盼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中职“哲学与人生”：韩仙凤 李  佳  杨玉霞  张雅鑫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工作安排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4月，确定各组负责人，学习文件，完成团队组建。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5月，确定分工，每周开展一次集体备课，并形成定稿。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6月，进行录课，整理完善相关资料，报送学院遴选。</w:t>
      </w:r>
    </w:p>
    <w:p>
      <w:pPr>
        <w:numPr>
          <w:ilvl w:val="0"/>
          <w:numId w:val="0"/>
        </w:num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7月，如入选，按照相关要求报送资料，并参加答辩等后续工作。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工作要求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1.认真研究学习相关文件，熟悉比赛规程要求，为今后工作奠定坚实基础。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2.坚持开展集体备课，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通过交流研讨，提高教师参赛素养，努力打造优秀教学团队。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3.坚持开拓创新，注重团队协作，打造校级优秀示范教案和教学视频，力争用2年内实现省级获奖。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4.注重过程管理，严格项目考核，通过绩效激励，调动教师参与的积极性和主动性。</w:t>
      </w:r>
    </w:p>
    <w:p>
      <w:pPr>
        <w:tabs>
          <w:tab w:val="left" w:pos="610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FB32"/>
    <w:multiLevelType w:val="singleLevel"/>
    <w:tmpl w:val="34E0FB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C6394"/>
    <w:rsid w:val="04CE72C2"/>
    <w:rsid w:val="0E4753F8"/>
    <w:rsid w:val="1DDC0490"/>
    <w:rsid w:val="3AFE6273"/>
    <w:rsid w:val="4DDE7305"/>
    <w:rsid w:val="531E7168"/>
    <w:rsid w:val="613D3298"/>
    <w:rsid w:val="6C084B24"/>
    <w:rsid w:val="6CA57B06"/>
    <w:rsid w:val="7539729F"/>
    <w:rsid w:val="75595AAB"/>
    <w:rsid w:val="759C6394"/>
    <w:rsid w:val="78D56408"/>
    <w:rsid w:val="7D94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2022-05-23T01:28:00Z</dcterms:created>
  <dc:creator>LENOVO</dc:creator>
  <cp:lastModifiedBy>LENOVO</cp:lastModifiedBy>
  <dcterms:modified xsi:type="dcterms:W3CDTF">2022-05-24T07:27:04Z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